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рисков. Международные стандарты риск -менеджмента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оценки рисков. Международные стандарты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производить проверку эффективности управления отдельными видами рисков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2.89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453.9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рисков. Формализация частичной неопределенности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3.	Методы управления рисками: принципы управления, алгоритм управления.</w:t>
            </w:r>
          </w:p>
          <w:p>
            <w:pPr>
              <w:jc w:val="both"/>
              <w:spacing w:after="0" w:line="240" w:lineRule="auto"/>
              <w:rPr>
                <w:sz w:val="24"/>
                <w:szCs w:val="24"/>
              </w:rPr>
            </w:pPr>
            <w:r>
              <w:rPr>
                <w:rFonts w:ascii="Times New Roman" w:hAnsi="Times New Roman" w:cs="Times New Roman"/>
                <w:color w:val="#000000"/>
                <w:sz w:val="24"/>
                <w:szCs w:val="24"/>
              </w:rPr>
              <w:t> 4.	Процесс управления операционными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Показатели оценки операционного риска в условиях частичной и полной неопределенности и их применение.</w:t>
            </w:r>
          </w:p>
          <w:p>
            <w:pPr>
              <w:jc w:val="both"/>
              <w:spacing w:after="0" w:line="240" w:lineRule="auto"/>
              <w:rPr>
                <w:sz w:val="24"/>
                <w:szCs w:val="24"/>
              </w:rPr>
            </w:pPr>
            <w:r>
              <w:rPr>
                <w:rFonts w:ascii="Times New Roman" w:hAnsi="Times New Roman" w:cs="Times New Roman"/>
                <w:color w:val="#000000"/>
                <w:sz w:val="24"/>
                <w:szCs w:val="24"/>
              </w:rPr>
              <w:t> 5.	Условия частичной неопределенности.</w:t>
            </w:r>
          </w:p>
          <w:p>
            <w:pPr>
              <w:jc w:val="both"/>
              <w:spacing w:after="0" w:line="240" w:lineRule="auto"/>
              <w:rPr>
                <w:sz w:val="24"/>
                <w:szCs w:val="24"/>
              </w:rPr>
            </w:pPr>
            <w:r>
              <w:rPr>
                <w:rFonts w:ascii="Times New Roman" w:hAnsi="Times New Roman" w:cs="Times New Roman"/>
                <w:color w:val="#000000"/>
                <w:sz w:val="24"/>
                <w:szCs w:val="24"/>
              </w:rPr>
              <w:t> 6.	Условия полной неопределенности: точечная оценка риска, предельные значения показателей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pPr>
              <w:jc w:val="both"/>
              <w:spacing w:after="0" w:line="240" w:lineRule="auto"/>
              <w:rPr>
                <w:sz w:val="24"/>
                <w:szCs w:val="24"/>
              </w:rPr>
            </w:pPr>
            <w:r>
              <w:rPr>
                <w:rFonts w:ascii="Times New Roman" w:hAnsi="Times New Roman" w:cs="Times New Roman"/>
                <w:color w:val="#000000"/>
                <w:sz w:val="24"/>
                <w:szCs w:val="24"/>
              </w:rPr>
              <w:t> 5.	Предельные значения показателей риска</w:t>
            </w:r>
          </w:p>
          <w:p>
            <w:pPr>
              <w:jc w:val="both"/>
              <w:spacing w:after="0" w:line="240" w:lineRule="auto"/>
              <w:rPr>
                <w:sz w:val="24"/>
                <w:szCs w:val="24"/>
              </w:rPr>
            </w:pPr>
            <w:r>
              <w:rPr>
                <w:rFonts w:ascii="Times New Roman" w:hAnsi="Times New Roman" w:cs="Times New Roman"/>
                <w:color w:val="#000000"/>
                <w:sz w:val="24"/>
                <w:szCs w:val="24"/>
              </w:rPr>
              <w:t> 6.	Выбор решений в условиях частичной неопределенности: критерий рациональности Лапласа.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метода получения экспертной информации. Метод Дельфи</w:t>
            </w:r>
          </w:p>
          <w:p>
            <w:pPr>
              <w:jc w:val="both"/>
              <w:spacing w:after="0" w:line="240" w:lineRule="auto"/>
              <w:rPr>
                <w:sz w:val="24"/>
                <w:szCs w:val="24"/>
              </w:rPr>
            </w:pPr>
            <w:r>
              <w:rPr>
                <w:rFonts w:ascii="Times New Roman" w:hAnsi="Times New Roman" w:cs="Times New Roman"/>
                <w:color w:val="#000000"/>
                <w:sz w:val="24"/>
                <w:szCs w:val="24"/>
              </w:rPr>
              <w:t> 4. Определение обобщенных оценок экспертов</w:t>
            </w:r>
          </w:p>
          <w:p>
            <w:pPr>
              <w:jc w:val="both"/>
              <w:spacing w:after="0" w:line="240" w:lineRule="auto"/>
              <w:rPr>
                <w:sz w:val="24"/>
                <w:szCs w:val="24"/>
              </w:rPr>
            </w:pPr>
            <w:r>
              <w:rPr>
                <w:rFonts w:ascii="Times New Roman" w:hAnsi="Times New Roman" w:cs="Times New Roman"/>
                <w:color w:val="#000000"/>
                <w:sz w:val="24"/>
                <w:szCs w:val="24"/>
              </w:rPr>
              <w:t> 5. Оценка согласованности мнений экспертов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постулаты модели CAPM</w:t>
            </w:r>
          </w:p>
          <w:p>
            <w:pPr>
              <w:jc w:val="both"/>
              <w:spacing w:after="0" w:line="240" w:lineRule="auto"/>
              <w:rPr>
                <w:sz w:val="24"/>
                <w:szCs w:val="24"/>
              </w:rPr>
            </w:pPr>
            <w:r>
              <w:rPr>
                <w:rFonts w:ascii="Times New Roman" w:hAnsi="Times New Roman" w:cs="Times New Roman"/>
                <w:color w:val="#000000"/>
                <w:sz w:val="24"/>
                <w:szCs w:val="24"/>
              </w:rPr>
              <w:t> 2. Основные индексы мирового и российского фондовых рынков</w:t>
            </w:r>
          </w:p>
          <w:p>
            <w:pPr>
              <w:jc w:val="both"/>
              <w:spacing w:after="0" w:line="240" w:lineRule="auto"/>
              <w:rPr>
                <w:sz w:val="24"/>
                <w:szCs w:val="24"/>
              </w:rPr>
            </w:pPr>
            <w:r>
              <w:rPr>
                <w:rFonts w:ascii="Times New Roman" w:hAnsi="Times New Roman" w:cs="Times New Roman"/>
                <w:color w:val="#000000"/>
                <w:sz w:val="24"/>
                <w:szCs w:val="24"/>
              </w:rPr>
              <w:t> 3. Преимущества и недостатки модели CAPM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both"/>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both"/>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both"/>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both"/>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и системы управления рисками.</w:t>
            </w:r>
          </w:p>
          <w:p>
            <w:pPr>
              <w:jc w:val="both"/>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both"/>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both"/>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both"/>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both"/>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предприятия.</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элементов системы управления рисками предприятия. Алгоритм управления рисками предприятия.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и методы оценки риска: методы анализа операционных рисков предприятия; измерители и система показатели оценки риска.</w:t>
            </w:r>
          </w:p>
          <w:p>
            <w:pPr>
              <w:jc w:val="left"/>
              <w:spacing w:after="0" w:line="240" w:lineRule="auto"/>
              <w:rPr>
                <w:sz w:val="24"/>
                <w:szCs w:val="24"/>
              </w:rPr>
            </w:pPr>
            <w:r>
              <w:rPr>
                <w:rFonts w:ascii="Times New Roman" w:hAnsi="Times New Roman" w:cs="Times New Roman"/>
                <w:color w:val="#000000"/>
                <w:sz w:val="24"/>
                <w:szCs w:val="24"/>
              </w:rPr>
              <w:t> 2.	Система показателей оценки риска.</w:t>
            </w:r>
          </w:p>
          <w:p>
            <w:pPr>
              <w:jc w:val="left"/>
              <w:spacing w:after="0" w:line="240" w:lineRule="auto"/>
              <w:rPr>
                <w:sz w:val="24"/>
                <w:szCs w:val="24"/>
              </w:rPr>
            </w:pPr>
            <w:r>
              <w:rPr>
                <w:rFonts w:ascii="Times New Roman" w:hAnsi="Times New Roman" w:cs="Times New Roman"/>
                <w:color w:val="#000000"/>
                <w:sz w:val="24"/>
                <w:szCs w:val="24"/>
              </w:rPr>
              <w:t> 3.	Показатели оценки риска в условиях неопределенности.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рисков.</w:t>
            </w:r>
          </w:p>
          <w:p>
            <w:pPr>
              <w:jc w:val="left"/>
              <w:spacing w:after="0" w:line="240" w:lineRule="auto"/>
              <w:rPr>
                <w:sz w:val="24"/>
                <w:szCs w:val="24"/>
              </w:rPr>
            </w:pPr>
            <w:r>
              <w:rPr>
                <w:rFonts w:ascii="Times New Roman" w:hAnsi="Times New Roman" w:cs="Times New Roman"/>
                <w:color w:val="#000000"/>
                <w:sz w:val="24"/>
                <w:szCs w:val="24"/>
              </w:rPr>
              <w:t> 2.	Формализация частичной неопределенности и применение теории вероятности в задачах оценки риска.</w:t>
            </w:r>
          </w:p>
          <w:p>
            <w:pPr>
              <w:jc w:val="left"/>
              <w:spacing w:after="0" w:line="240" w:lineRule="auto"/>
              <w:rPr>
                <w:sz w:val="24"/>
                <w:szCs w:val="24"/>
              </w:rPr>
            </w:pPr>
            <w:r>
              <w:rPr>
                <w:rFonts w:ascii="Times New Roman" w:hAnsi="Times New Roman" w:cs="Times New Roman"/>
                <w:color w:val="#000000"/>
                <w:sz w:val="24"/>
                <w:szCs w:val="24"/>
              </w:rPr>
              <w:t> 3.	Закон нормального распределения; интервальная оценка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сведения о методе экспертных оценок</w:t>
            </w:r>
          </w:p>
          <w:p>
            <w:pPr>
              <w:jc w:val="left"/>
              <w:spacing w:after="0" w:line="240" w:lineRule="auto"/>
              <w:rPr>
                <w:sz w:val="24"/>
                <w:szCs w:val="24"/>
              </w:rPr>
            </w:pPr>
            <w:r>
              <w:rPr>
                <w:rFonts w:ascii="Times New Roman" w:hAnsi="Times New Roman" w:cs="Times New Roman"/>
                <w:color w:val="#000000"/>
                <w:sz w:val="24"/>
                <w:szCs w:val="24"/>
              </w:rPr>
              <w:t> 2. Формирование экспертной группы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1.31518"/>
        </w:trPr>
        <w:tc>
          <w:tcPr>
            <w:tcW w:w="9640" w:type="dxa"/>
          </w:tcPr>
          <w:p/>
        </w:tc>
      </w:tr>
      <w:tr>
        <w:trPr>
          <w:trHeight w:hRule="exact" w:val="1735.7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left"/>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left"/>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left"/>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left"/>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28.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2022-2023_ФГОС3++2022_Бак-ОЗФО-Мен_(Мзд)(22)_plx_Методы оценки рисков_ Международные стандарты риск-менеджмента</dc:title>
  <dc:creator>FastReport.NET</dc:creator>
</cp:coreProperties>
</file>